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E0" w:rsidRDefault="001A0F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Spring 2019 Planning and Evaluation Retreat Report</w:t>
      </w:r>
    </w:p>
    <w:p w:rsidR="00133BE0" w:rsidRDefault="001A0F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Key Performance Indicators: Institution-Set Standards, Aspirational Targets, and CCCCO Vision for Success Goals</w:t>
      </w:r>
    </w:p>
    <w:p w:rsidR="00133BE0" w:rsidRDefault="001A0F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Recommended by the Institutional Effectiveness Council (May 6, 2019)</w:t>
      </w:r>
    </w:p>
    <w:p w:rsidR="00133BE0" w:rsidRDefault="00133B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133BE0" w:rsidRDefault="001A0F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Institutional Effectiveness Council (IEC) recommends the following Institution-Set Standards and aspirational targets for internal and external Key Performance Indicators on behalf of the College. Recommended Institution-Set Standards and aspirational </w:t>
      </w:r>
      <w:r>
        <w:rPr>
          <w:rFonts w:ascii="Arial" w:eastAsia="Arial" w:hAnsi="Arial" w:cs="Arial"/>
        </w:rPr>
        <w:t xml:space="preserve">targets are informed by input obtained via the </w:t>
      </w:r>
      <w:proofErr w:type="gramStart"/>
      <w:r>
        <w:rPr>
          <w:rFonts w:ascii="Arial" w:eastAsia="Arial" w:hAnsi="Arial" w:cs="Arial"/>
        </w:rPr>
        <w:t>Spring</w:t>
      </w:r>
      <w:proofErr w:type="gramEnd"/>
      <w:r>
        <w:rPr>
          <w:rFonts w:ascii="Arial" w:eastAsia="Arial" w:hAnsi="Arial" w:cs="Arial"/>
        </w:rPr>
        <w:t xml:space="preserve"> 2019 Planning and Evaluation Retreat held on April 26, 2019. IEC reviewed the recommendations emerging from the retreat in light of prior college performance, retreat participant feedback, previously-es</w:t>
      </w:r>
      <w:r>
        <w:rPr>
          <w:rFonts w:ascii="Arial" w:eastAsia="Arial" w:hAnsi="Arial" w:cs="Arial"/>
        </w:rPr>
        <w:t>tablished standards and targets, if applicable, and internal and external factors influencing the specific indicators.</w:t>
      </w:r>
    </w:p>
    <w:p w:rsidR="00133BE0" w:rsidRDefault="00133B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133BE0" w:rsidRDefault="00133B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12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2535"/>
        <w:gridCol w:w="1605"/>
        <w:gridCol w:w="1695"/>
        <w:gridCol w:w="2100"/>
        <w:gridCol w:w="1845"/>
        <w:gridCol w:w="2010"/>
      </w:tblGrid>
      <w:tr w:rsidR="00133BE0">
        <w:tc>
          <w:tcPr>
            <w:tcW w:w="12150" w:type="dxa"/>
            <w:gridSpan w:val="7"/>
            <w:shd w:val="clear" w:color="auto" w:fill="FF7C80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Acceleration - Basic Skills</w:t>
            </w:r>
          </w:p>
        </w:tc>
      </w:tr>
      <w:tr w:rsidR="00133BE0">
        <w:trPr>
          <w:trHeight w:val="1000"/>
        </w:trPr>
        <w:tc>
          <w:tcPr>
            <w:tcW w:w="360" w:type="dxa"/>
            <w:shd w:val="clear" w:color="auto" w:fill="BFBFBF"/>
            <w:vAlign w:val="center"/>
          </w:tcPr>
          <w:p w:rsidR="00133BE0" w:rsidRDefault="00133B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535" w:type="dxa"/>
            <w:shd w:val="clear" w:color="auto" w:fill="BFBFBF"/>
            <w:vAlign w:val="center"/>
          </w:tcPr>
          <w:p w:rsidR="00133BE0" w:rsidRDefault="001A0FD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Key Performance Indicator</w:t>
            </w:r>
          </w:p>
        </w:tc>
        <w:tc>
          <w:tcPr>
            <w:tcW w:w="1605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Current Data</w:t>
            </w:r>
          </w:p>
        </w:tc>
        <w:tc>
          <w:tcPr>
            <w:tcW w:w="1695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2018 Standard</w:t>
            </w:r>
          </w:p>
        </w:tc>
        <w:tc>
          <w:tcPr>
            <w:tcW w:w="2100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 Standard</w:t>
            </w:r>
          </w:p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(Recommended by IEC)</w:t>
            </w:r>
          </w:p>
        </w:tc>
        <w:tc>
          <w:tcPr>
            <w:tcW w:w="1845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2018 Target</w:t>
            </w:r>
          </w:p>
        </w:tc>
        <w:tc>
          <w:tcPr>
            <w:tcW w:w="2010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 Target</w:t>
            </w:r>
          </w:p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Recommended by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IEC)</w:t>
            </w:r>
          </w:p>
        </w:tc>
      </w:tr>
      <w:tr w:rsidR="00133BE0">
        <w:trPr>
          <w:trHeight w:val="1000"/>
        </w:trPr>
        <w:tc>
          <w:tcPr>
            <w:tcW w:w="36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53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First-Time Students’ One-Year Math Throughput</w:t>
            </w:r>
          </w:p>
        </w:tc>
        <w:tc>
          <w:tcPr>
            <w:tcW w:w="160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56%</w:t>
            </w:r>
          </w:p>
        </w:tc>
        <w:tc>
          <w:tcPr>
            <w:tcW w:w="1695" w:type="dxa"/>
            <w:shd w:val="clear" w:color="auto" w:fill="FFEBEB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55%*</w:t>
            </w:r>
          </w:p>
        </w:tc>
        <w:tc>
          <w:tcPr>
            <w:tcW w:w="2100" w:type="dxa"/>
            <w:shd w:val="clear" w:color="auto" w:fill="FFEBEB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55%</w:t>
            </w:r>
          </w:p>
        </w:tc>
        <w:tc>
          <w:tcPr>
            <w:tcW w:w="184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65%*</w:t>
            </w:r>
          </w:p>
        </w:tc>
        <w:tc>
          <w:tcPr>
            <w:tcW w:w="201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65%</w:t>
            </w:r>
          </w:p>
        </w:tc>
      </w:tr>
      <w:tr w:rsidR="00133BE0">
        <w:trPr>
          <w:trHeight w:val="1000"/>
        </w:trPr>
        <w:tc>
          <w:tcPr>
            <w:tcW w:w="36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53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First-Time Students’ One-Year English Throughput</w:t>
            </w:r>
          </w:p>
        </w:tc>
        <w:tc>
          <w:tcPr>
            <w:tcW w:w="160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59%</w:t>
            </w:r>
          </w:p>
        </w:tc>
        <w:tc>
          <w:tcPr>
            <w:tcW w:w="1695" w:type="dxa"/>
            <w:shd w:val="clear" w:color="auto" w:fill="FFEBEB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60%*</w:t>
            </w:r>
          </w:p>
        </w:tc>
        <w:tc>
          <w:tcPr>
            <w:tcW w:w="2100" w:type="dxa"/>
            <w:shd w:val="clear" w:color="auto" w:fill="FFEBEB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60%</w:t>
            </w:r>
          </w:p>
        </w:tc>
        <w:tc>
          <w:tcPr>
            <w:tcW w:w="184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70%*</w:t>
            </w:r>
          </w:p>
        </w:tc>
        <w:tc>
          <w:tcPr>
            <w:tcW w:w="201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70%</w:t>
            </w:r>
          </w:p>
        </w:tc>
      </w:tr>
      <w:tr w:rsidR="00133BE0">
        <w:trPr>
          <w:trHeight w:val="1000"/>
        </w:trPr>
        <w:tc>
          <w:tcPr>
            <w:tcW w:w="36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53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First-Time Students’ One-Year Math </w:t>
            </w:r>
            <w:r>
              <w:rPr>
                <w:rFonts w:ascii="Arial" w:eastAsia="Arial" w:hAnsi="Arial" w:cs="Arial"/>
                <w:u w:val="single"/>
              </w:rPr>
              <w:t>and</w:t>
            </w:r>
            <w:r>
              <w:rPr>
                <w:rFonts w:ascii="Arial" w:eastAsia="Arial" w:hAnsi="Arial" w:cs="Arial"/>
              </w:rPr>
              <w:t xml:space="preserve"> English Throughput</w:t>
            </w:r>
          </w:p>
        </w:tc>
        <w:tc>
          <w:tcPr>
            <w:tcW w:w="160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45%</w:t>
            </w:r>
          </w:p>
        </w:tc>
        <w:tc>
          <w:tcPr>
            <w:tcW w:w="1695" w:type="dxa"/>
            <w:shd w:val="clear" w:color="auto" w:fill="FFEBEB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</w:t>
            </w:r>
          </w:p>
        </w:tc>
        <w:tc>
          <w:tcPr>
            <w:tcW w:w="2100" w:type="dxa"/>
            <w:shd w:val="clear" w:color="auto" w:fill="FFEBEB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45%</w:t>
            </w:r>
          </w:p>
        </w:tc>
        <w:tc>
          <w:tcPr>
            <w:tcW w:w="184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</w:t>
            </w:r>
          </w:p>
        </w:tc>
        <w:tc>
          <w:tcPr>
            <w:tcW w:w="201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55%</w:t>
            </w:r>
          </w:p>
        </w:tc>
      </w:tr>
      <w:tr w:rsidR="00133BE0">
        <w:trPr>
          <w:trHeight w:val="1000"/>
        </w:trPr>
        <w:tc>
          <w:tcPr>
            <w:tcW w:w="36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53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First-Time ESL Students’ Three-Year English Throughput</w:t>
            </w:r>
          </w:p>
        </w:tc>
        <w:tc>
          <w:tcPr>
            <w:tcW w:w="160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22%</w:t>
            </w:r>
          </w:p>
        </w:tc>
        <w:tc>
          <w:tcPr>
            <w:tcW w:w="1695" w:type="dxa"/>
            <w:shd w:val="clear" w:color="auto" w:fill="FFEBEB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30%</w:t>
            </w:r>
          </w:p>
        </w:tc>
        <w:tc>
          <w:tcPr>
            <w:tcW w:w="2100" w:type="dxa"/>
            <w:shd w:val="clear" w:color="auto" w:fill="FFEBEB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25% </w:t>
            </w:r>
          </w:p>
        </w:tc>
        <w:tc>
          <w:tcPr>
            <w:tcW w:w="184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40%</w:t>
            </w:r>
          </w:p>
        </w:tc>
        <w:tc>
          <w:tcPr>
            <w:tcW w:w="201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35%</w:t>
            </w:r>
          </w:p>
        </w:tc>
      </w:tr>
    </w:tbl>
    <w:p w:rsidR="00133BE0" w:rsidRDefault="001A0FD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*These standards and targets were set based on the CCCCO Scorecard One-Year Transfer-Level Achievement indicators.</w:t>
      </w:r>
    </w:p>
    <w:p w:rsidR="00133BE0" w:rsidRDefault="00133BE0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2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2775"/>
        <w:gridCol w:w="2025"/>
        <w:gridCol w:w="1800"/>
        <w:gridCol w:w="1875"/>
        <w:gridCol w:w="1935"/>
        <w:gridCol w:w="1920"/>
      </w:tblGrid>
      <w:tr w:rsidR="00133BE0">
        <w:tc>
          <w:tcPr>
            <w:tcW w:w="12690" w:type="dxa"/>
            <w:gridSpan w:val="7"/>
            <w:shd w:val="clear" w:color="auto" w:fill="FFC000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Guided Student Pathways: Career-Related Outcomes</w:t>
            </w:r>
          </w:p>
        </w:tc>
      </w:tr>
      <w:tr w:rsidR="00133BE0">
        <w:trPr>
          <w:trHeight w:val="1000"/>
        </w:trPr>
        <w:tc>
          <w:tcPr>
            <w:tcW w:w="360" w:type="dxa"/>
            <w:shd w:val="clear" w:color="auto" w:fill="BFBFBF"/>
            <w:vAlign w:val="center"/>
          </w:tcPr>
          <w:p w:rsidR="00133BE0" w:rsidRDefault="00133B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75" w:type="dxa"/>
            <w:shd w:val="clear" w:color="auto" w:fill="BFBFBF"/>
            <w:vAlign w:val="center"/>
          </w:tcPr>
          <w:p w:rsidR="00133BE0" w:rsidRDefault="001A0FD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Key Performance Indicator</w:t>
            </w:r>
          </w:p>
        </w:tc>
        <w:tc>
          <w:tcPr>
            <w:tcW w:w="2025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Current Data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2018 Standard</w:t>
            </w:r>
          </w:p>
        </w:tc>
        <w:tc>
          <w:tcPr>
            <w:tcW w:w="1875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 Standard</w:t>
            </w:r>
          </w:p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(Recommended by IEC)</w:t>
            </w:r>
          </w:p>
        </w:tc>
        <w:tc>
          <w:tcPr>
            <w:tcW w:w="1935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2018 Target</w:t>
            </w:r>
          </w:p>
        </w:tc>
        <w:tc>
          <w:tcPr>
            <w:tcW w:w="1920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 Target</w:t>
            </w:r>
          </w:p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(Recommended by IEC)</w:t>
            </w:r>
          </w:p>
        </w:tc>
      </w:tr>
      <w:tr w:rsidR="00133BE0">
        <w:trPr>
          <w:trHeight w:val="1000"/>
        </w:trPr>
        <w:tc>
          <w:tcPr>
            <w:tcW w:w="36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7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Certificates Awarded (Duplicated)</w:t>
            </w:r>
          </w:p>
        </w:tc>
        <w:tc>
          <w:tcPr>
            <w:tcW w:w="202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207</w:t>
            </w:r>
          </w:p>
        </w:tc>
        <w:tc>
          <w:tcPr>
            <w:tcW w:w="1800" w:type="dxa"/>
            <w:shd w:val="clear" w:color="auto" w:fill="FFF2CC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1875" w:type="dxa"/>
            <w:shd w:val="clear" w:color="auto" w:fill="FFF2CC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193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250</w:t>
            </w:r>
          </w:p>
        </w:tc>
        <w:tc>
          <w:tcPr>
            <w:tcW w:w="192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250</w:t>
            </w:r>
          </w:p>
        </w:tc>
      </w:tr>
      <w:tr w:rsidR="00133BE0">
        <w:trPr>
          <w:trHeight w:val="1000"/>
        </w:trPr>
        <w:tc>
          <w:tcPr>
            <w:tcW w:w="36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77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Certificate Graduates (Unduplicated)</w:t>
            </w:r>
          </w:p>
        </w:tc>
        <w:tc>
          <w:tcPr>
            <w:tcW w:w="202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184</w:t>
            </w:r>
          </w:p>
        </w:tc>
        <w:tc>
          <w:tcPr>
            <w:tcW w:w="1800" w:type="dxa"/>
            <w:shd w:val="clear" w:color="auto" w:fill="FFF2CC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170</w:t>
            </w:r>
          </w:p>
        </w:tc>
        <w:tc>
          <w:tcPr>
            <w:tcW w:w="1875" w:type="dxa"/>
            <w:shd w:val="clear" w:color="auto" w:fill="FFF2CC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170</w:t>
            </w:r>
          </w:p>
        </w:tc>
        <w:tc>
          <w:tcPr>
            <w:tcW w:w="193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192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</w:tr>
      <w:tr w:rsidR="00133BE0">
        <w:trPr>
          <w:trHeight w:val="1000"/>
        </w:trPr>
        <w:tc>
          <w:tcPr>
            <w:tcW w:w="36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77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Median Change in Earnings</w:t>
            </w:r>
          </w:p>
        </w:tc>
        <w:tc>
          <w:tcPr>
            <w:tcW w:w="202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52%</w:t>
            </w:r>
          </w:p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($24,900)</w:t>
            </w:r>
          </w:p>
        </w:tc>
        <w:tc>
          <w:tcPr>
            <w:tcW w:w="1800" w:type="dxa"/>
            <w:shd w:val="clear" w:color="auto" w:fill="FFF2CC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20%*</w:t>
            </w:r>
          </w:p>
        </w:tc>
        <w:tc>
          <w:tcPr>
            <w:tcW w:w="1875" w:type="dxa"/>
            <w:shd w:val="clear" w:color="auto" w:fill="FFF2CC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50%</w:t>
            </w:r>
          </w:p>
        </w:tc>
        <w:tc>
          <w:tcPr>
            <w:tcW w:w="193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30%*</w:t>
            </w:r>
          </w:p>
        </w:tc>
        <w:tc>
          <w:tcPr>
            <w:tcW w:w="192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55%**</w:t>
            </w:r>
          </w:p>
        </w:tc>
      </w:tr>
      <w:tr w:rsidR="00133BE0">
        <w:trPr>
          <w:trHeight w:val="1000"/>
        </w:trPr>
        <w:tc>
          <w:tcPr>
            <w:tcW w:w="36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77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Attained the Living Wage</w:t>
            </w:r>
          </w:p>
        </w:tc>
        <w:tc>
          <w:tcPr>
            <w:tcW w:w="202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36%</w:t>
            </w:r>
          </w:p>
        </w:tc>
        <w:tc>
          <w:tcPr>
            <w:tcW w:w="1800" w:type="dxa"/>
            <w:shd w:val="clear" w:color="auto" w:fill="FFF2CC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</w:t>
            </w:r>
          </w:p>
        </w:tc>
        <w:tc>
          <w:tcPr>
            <w:tcW w:w="1875" w:type="dxa"/>
            <w:shd w:val="clear" w:color="auto" w:fill="FFF2CC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35%</w:t>
            </w:r>
          </w:p>
        </w:tc>
        <w:tc>
          <w:tcPr>
            <w:tcW w:w="193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</w:t>
            </w:r>
          </w:p>
        </w:tc>
        <w:tc>
          <w:tcPr>
            <w:tcW w:w="192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42%</w:t>
            </w:r>
          </w:p>
        </w:tc>
      </w:tr>
    </w:tbl>
    <w:p w:rsidR="00133BE0" w:rsidRDefault="001A0FDC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*These standards and targets were set based on the CCCCO Scorecard Career Education Skills-Builders’ Median Wage Gains indicator.</w:t>
      </w:r>
    </w:p>
    <w:p w:rsidR="00133BE0" w:rsidRDefault="001A0FDC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**Will be rendered in terms of actual dollars in the NOVA system for Vision for Success Goals</w:t>
      </w:r>
    </w:p>
    <w:p w:rsidR="00133BE0" w:rsidRDefault="00133BE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</w:rPr>
      </w:pPr>
    </w:p>
    <w:p w:rsidR="00133BE0" w:rsidRDefault="001A0FDC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tbl>
      <w:tblPr>
        <w:tblStyle w:val="a1"/>
        <w:tblW w:w="12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880"/>
        <w:gridCol w:w="1515"/>
        <w:gridCol w:w="1800"/>
        <w:gridCol w:w="1800"/>
        <w:gridCol w:w="1680"/>
        <w:gridCol w:w="1785"/>
      </w:tblGrid>
      <w:tr w:rsidR="00133BE0">
        <w:tc>
          <w:tcPr>
            <w:tcW w:w="12000" w:type="dxa"/>
            <w:gridSpan w:val="7"/>
            <w:shd w:val="clear" w:color="auto" w:fill="9CC3E5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Guided Student Pathways: Completion</w:t>
            </w:r>
          </w:p>
        </w:tc>
      </w:tr>
      <w:tr w:rsidR="00133BE0">
        <w:trPr>
          <w:trHeight w:val="1000"/>
        </w:trPr>
        <w:tc>
          <w:tcPr>
            <w:tcW w:w="540" w:type="dxa"/>
            <w:shd w:val="clear" w:color="auto" w:fill="BFBFBF"/>
            <w:vAlign w:val="center"/>
          </w:tcPr>
          <w:p w:rsidR="00133BE0" w:rsidRDefault="00133B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880" w:type="dxa"/>
            <w:shd w:val="clear" w:color="auto" w:fill="BFBFBF"/>
            <w:vAlign w:val="center"/>
          </w:tcPr>
          <w:p w:rsidR="00133BE0" w:rsidRDefault="001A0FD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Key Performance Indicator</w:t>
            </w:r>
          </w:p>
        </w:tc>
        <w:tc>
          <w:tcPr>
            <w:tcW w:w="1515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Current Data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2018 Standard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 Standard</w:t>
            </w:r>
          </w:p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(Recommended by IEC)</w:t>
            </w:r>
          </w:p>
        </w:tc>
        <w:tc>
          <w:tcPr>
            <w:tcW w:w="1680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2018 Target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 Target</w:t>
            </w:r>
          </w:p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(Recommended by IEC)</w:t>
            </w:r>
          </w:p>
        </w:tc>
      </w:tr>
      <w:tr w:rsidR="00133BE0">
        <w:trPr>
          <w:trHeight w:val="1000"/>
        </w:trPr>
        <w:tc>
          <w:tcPr>
            <w:tcW w:w="54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88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Transfers to Four-Year Institutions</w:t>
            </w:r>
          </w:p>
        </w:tc>
        <w:tc>
          <w:tcPr>
            <w:tcW w:w="151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456</w:t>
            </w:r>
          </w:p>
        </w:tc>
        <w:tc>
          <w:tcPr>
            <w:tcW w:w="1800" w:type="dxa"/>
            <w:shd w:val="clear" w:color="auto" w:fill="DEEBF6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549</w:t>
            </w:r>
          </w:p>
        </w:tc>
        <w:tc>
          <w:tcPr>
            <w:tcW w:w="1800" w:type="dxa"/>
            <w:shd w:val="clear" w:color="auto" w:fill="DEEBF6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525</w:t>
            </w:r>
          </w:p>
        </w:tc>
        <w:tc>
          <w:tcPr>
            <w:tcW w:w="168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584</w:t>
            </w:r>
          </w:p>
        </w:tc>
        <w:tc>
          <w:tcPr>
            <w:tcW w:w="178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565</w:t>
            </w:r>
          </w:p>
        </w:tc>
      </w:tr>
      <w:tr w:rsidR="00133BE0">
        <w:trPr>
          <w:trHeight w:val="1000"/>
        </w:trPr>
        <w:tc>
          <w:tcPr>
            <w:tcW w:w="54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88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Associate Degrees Awarded (Duplicated)</w:t>
            </w:r>
          </w:p>
        </w:tc>
        <w:tc>
          <w:tcPr>
            <w:tcW w:w="151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1,065</w:t>
            </w:r>
          </w:p>
        </w:tc>
        <w:tc>
          <w:tcPr>
            <w:tcW w:w="1800" w:type="dxa"/>
            <w:shd w:val="clear" w:color="auto" w:fill="DEEBF6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850</w:t>
            </w:r>
          </w:p>
        </w:tc>
        <w:tc>
          <w:tcPr>
            <w:tcW w:w="1800" w:type="dxa"/>
            <w:shd w:val="clear" w:color="auto" w:fill="DEEBF6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900</w:t>
            </w:r>
          </w:p>
        </w:tc>
        <w:tc>
          <w:tcPr>
            <w:tcW w:w="168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1,025</w:t>
            </w:r>
          </w:p>
        </w:tc>
        <w:tc>
          <w:tcPr>
            <w:tcW w:w="178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1,100</w:t>
            </w:r>
          </w:p>
        </w:tc>
      </w:tr>
      <w:tr w:rsidR="00133BE0">
        <w:trPr>
          <w:trHeight w:val="1000"/>
        </w:trPr>
        <w:tc>
          <w:tcPr>
            <w:tcW w:w="54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88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Associate Degree Graduates (Unduplicated)</w:t>
            </w:r>
          </w:p>
        </w:tc>
        <w:tc>
          <w:tcPr>
            <w:tcW w:w="151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718</w:t>
            </w:r>
          </w:p>
        </w:tc>
        <w:tc>
          <w:tcPr>
            <w:tcW w:w="1800" w:type="dxa"/>
            <w:shd w:val="clear" w:color="auto" w:fill="DEEBF6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570</w:t>
            </w:r>
          </w:p>
        </w:tc>
        <w:tc>
          <w:tcPr>
            <w:tcW w:w="1800" w:type="dxa"/>
            <w:shd w:val="clear" w:color="auto" w:fill="DEEBF6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620</w:t>
            </w:r>
          </w:p>
        </w:tc>
        <w:tc>
          <w:tcPr>
            <w:tcW w:w="168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710</w:t>
            </w:r>
          </w:p>
        </w:tc>
        <w:tc>
          <w:tcPr>
            <w:tcW w:w="178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760</w:t>
            </w:r>
          </w:p>
        </w:tc>
      </w:tr>
      <w:tr w:rsidR="00133BE0">
        <w:trPr>
          <w:trHeight w:val="1000"/>
        </w:trPr>
        <w:tc>
          <w:tcPr>
            <w:tcW w:w="54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88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Average Number of Units Accumulated by Associate Degree Earners</w:t>
            </w:r>
          </w:p>
        </w:tc>
        <w:tc>
          <w:tcPr>
            <w:tcW w:w="151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91</w:t>
            </w:r>
          </w:p>
        </w:tc>
        <w:tc>
          <w:tcPr>
            <w:tcW w:w="1800" w:type="dxa"/>
            <w:shd w:val="clear" w:color="auto" w:fill="DEEBF6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</w:t>
            </w:r>
          </w:p>
        </w:tc>
        <w:tc>
          <w:tcPr>
            <w:tcW w:w="1800" w:type="dxa"/>
            <w:shd w:val="clear" w:color="auto" w:fill="DEEBF6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88</w:t>
            </w:r>
          </w:p>
        </w:tc>
        <w:tc>
          <w:tcPr>
            <w:tcW w:w="168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</w:t>
            </w:r>
          </w:p>
        </w:tc>
        <w:tc>
          <w:tcPr>
            <w:tcW w:w="178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79</w:t>
            </w:r>
          </w:p>
        </w:tc>
      </w:tr>
    </w:tbl>
    <w:p w:rsidR="00133BE0" w:rsidRDefault="00133BE0">
      <w:pPr>
        <w:rPr>
          <w:rFonts w:ascii="Arial" w:eastAsia="Arial" w:hAnsi="Arial" w:cs="Arial"/>
          <w:b/>
          <w:sz w:val="20"/>
          <w:szCs w:val="20"/>
        </w:rPr>
      </w:pPr>
    </w:p>
    <w:p w:rsidR="00133BE0" w:rsidRDefault="001A0FDC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tbl>
      <w:tblPr>
        <w:tblStyle w:val="a2"/>
        <w:tblW w:w="12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775"/>
        <w:gridCol w:w="1560"/>
        <w:gridCol w:w="1800"/>
        <w:gridCol w:w="2040"/>
        <w:gridCol w:w="1725"/>
        <w:gridCol w:w="1785"/>
      </w:tblGrid>
      <w:tr w:rsidR="00133BE0">
        <w:tc>
          <w:tcPr>
            <w:tcW w:w="12225" w:type="dxa"/>
            <w:gridSpan w:val="7"/>
            <w:shd w:val="clear" w:color="auto" w:fill="ED7D31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Student Validation &amp; Engagement</w:t>
            </w:r>
          </w:p>
        </w:tc>
      </w:tr>
      <w:tr w:rsidR="00133BE0">
        <w:trPr>
          <w:trHeight w:val="1000"/>
        </w:trPr>
        <w:tc>
          <w:tcPr>
            <w:tcW w:w="540" w:type="dxa"/>
            <w:shd w:val="clear" w:color="auto" w:fill="BFBFBF"/>
            <w:vAlign w:val="center"/>
          </w:tcPr>
          <w:p w:rsidR="00133BE0" w:rsidRDefault="00133B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75" w:type="dxa"/>
            <w:shd w:val="clear" w:color="auto" w:fill="BFBFBF"/>
            <w:vAlign w:val="center"/>
          </w:tcPr>
          <w:p w:rsidR="00133BE0" w:rsidRDefault="001A0FD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Key Performance Indicator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Current Data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2018 Standard</w:t>
            </w:r>
          </w:p>
        </w:tc>
        <w:tc>
          <w:tcPr>
            <w:tcW w:w="2040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 Standard</w:t>
            </w:r>
          </w:p>
          <w:p w:rsidR="00133BE0" w:rsidRDefault="001A0F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(Recommended by IEC)</w:t>
            </w:r>
          </w:p>
        </w:tc>
        <w:tc>
          <w:tcPr>
            <w:tcW w:w="1725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2018 Target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 Target</w:t>
            </w:r>
          </w:p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(Recommended by IEC)</w:t>
            </w:r>
          </w:p>
        </w:tc>
      </w:tr>
      <w:tr w:rsidR="00133BE0">
        <w:trPr>
          <w:trHeight w:val="1000"/>
        </w:trPr>
        <w:tc>
          <w:tcPr>
            <w:tcW w:w="54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77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First-Time Students’ Fall-to-Spring Persistence Rate in District</w:t>
            </w:r>
          </w:p>
        </w:tc>
        <w:tc>
          <w:tcPr>
            <w:tcW w:w="156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71%</w:t>
            </w:r>
          </w:p>
        </w:tc>
        <w:tc>
          <w:tcPr>
            <w:tcW w:w="1800" w:type="dxa"/>
            <w:shd w:val="clear" w:color="auto" w:fill="FBE5D5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70%</w:t>
            </w:r>
          </w:p>
        </w:tc>
        <w:tc>
          <w:tcPr>
            <w:tcW w:w="2040" w:type="dxa"/>
            <w:shd w:val="clear" w:color="auto" w:fill="FBE5D5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70%</w:t>
            </w:r>
          </w:p>
        </w:tc>
        <w:tc>
          <w:tcPr>
            <w:tcW w:w="172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75%</w:t>
            </w:r>
          </w:p>
        </w:tc>
        <w:tc>
          <w:tcPr>
            <w:tcW w:w="178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75%</w:t>
            </w:r>
          </w:p>
        </w:tc>
      </w:tr>
      <w:tr w:rsidR="00133BE0">
        <w:trPr>
          <w:trHeight w:val="1000"/>
        </w:trPr>
        <w:tc>
          <w:tcPr>
            <w:tcW w:w="54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77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First-Time Students’ Fall-to-Fall Persistence Rate in District</w:t>
            </w:r>
          </w:p>
        </w:tc>
        <w:tc>
          <w:tcPr>
            <w:tcW w:w="156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55%</w:t>
            </w:r>
          </w:p>
        </w:tc>
        <w:tc>
          <w:tcPr>
            <w:tcW w:w="1800" w:type="dxa"/>
            <w:shd w:val="clear" w:color="auto" w:fill="FBE5D5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54%</w:t>
            </w:r>
          </w:p>
        </w:tc>
        <w:tc>
          <w:tcPr>
            <w:tcW w:w="2040" w:type="dxa"/>
            <w:shd w:val="clear" w:color="auto" w:fill="FBE5D5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54%</w:t>
            </w:r>
          </w:p>
        </w:tc>
        <w:tc>
          <w:tcPr>
            <w:tcW w:w="172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60%</w:t>
            </w:r>
          </w:p>
        </w:tc>
        <w:tc>
          <w:tcPr>
            <w:tcW w:w="178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60%</w:t>
            </w:r>
          </w:p>
        </w:tc>
      </w:tr>
      <w:tr w:rsidR="00133BE0">
        <w:trPr>
          <w:trHeight w:val="1000"/>
        </w:trPr>
        <w:tc>
          <w:tcPr>
            <w:tcW w:w="54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77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College-wide Course Success Rate</w:t>
            </w:r>
          </w:p>
        </w:tc>
        <w:tc>
          <w:tcPr>
            <w:tcW w:w="156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75%</w:t>
            </w:r>
          </w:p>
        </w:tc>
        <w:tc>
          <w:tcPr>
            <w:tcW w:w="1800" w:type="dxa"/>
            <w:shd w:val="clear" w:color="auto" w:fill="FBE5D5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75%</w:t>
            </w:r>
          </w:p>
        </w:tc>
        <w:tc>
          <w:tcPr>
            <w:tcW w:w="2040" w:type="dxa"/>
            <w:shd w:val="clear" w:color="auto" w:fill="FBE5D5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75%</w:t>
            </w:r>
          </w:p>
        </w:tc>
        <w:tc>
          <w:tcPr>
            <w:tcW w:w="172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77%</w:t>
            </w:r>
          </w:p>
        </w:tc>
        <w:tc>
          <w:tcPr>
            <w:tcW w:w="178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77%</w:t>
            </w:r>
          </w:p>
        </w:tc>
      </w:tr>
      <w:tr w:rsidR="00133BE0">
        <w:trPr>
          <w:trHeight w:val="1000"/>
        </w:trPr>
        <w:tc>
          <w:tcPr>
            <w:tcW w:w="54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277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CCSSE: Percentage of Students Participating in Campus Activities</w:t>
            </w:r>
          </w:p>
        </w:tc>
        <w:tc>
          <w:tcPr>
            <w:tcW w:w="156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18%</w:t>
            </w:r>
          </w:p>
        </w:tc>
        <w:tc>
          <w:tcPr>
            <w:tcW w:w="1800" w:type="dxa"/>
            <w:shd w:val="clear" w:color="auto" w:fill="FBE5D5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18%</w:t>
            </w:r>
          </w:p>
        </w:tc>
        <w:tc>
          <w:tcPr>
            <w:tcW w:w="2040" w:type="dxa"/>
            <w:shd w:val="clear" w:color="auto" w:fill="FBE5D5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18%</w:t>
            </w:r>
          </w:p>
        </w:tc>
        <w:tc>
          <w:tcPr>
            <w:tcW w:w="172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23%</w:t>
            </w:r>
          </w:p>
        </w:tc>
        <w:tc>
          <w:tcPr>
            <w:tcW w:w="178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23%</w:t>
            </w:r>
          </w:p>
        </w:tc>
      </w:tr>
      <w:tr w:rsidR="00133BE0">
        <w:trPr>
          <w:trHeight w:val="1000"/>
        </w:trPr>
        <w:tc>
          <w:tcPr>
            <w:tcW w:w="54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277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CCSSE: Percentage of Students Indicating the College Emphasizes Providing Support for Student Success</w:t>
            </w:r>
          </w:p>
        </w:tc>
        <w:tc>
          <w:tcPr>
            <w:tcW w:w="156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74%</w:t>
            </w:r>
          </w:p>
        </w:tc>
        <w:tc>
          <w:tcPr>
            <w:tcW w:w="1800" w:type="dxa"/>
            <w:shd w:val="clear" w:color="auto" w:fill="FBE5D5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75%</w:t>
            </w:r>
          </w:p>
        </w:tc>
        <w:tc>
          <w:tcPr>
            <w:tcW w:w="2040" w:type="dxa"/>
            <w:shd w:val="clear" w:color="auto" w:fill="FBE5D5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75%</w:t>
            </w:r>
          </w:p>
        </w:tc>
        <w:tc>
          <w:tcPr>
            <w:tcW w:w="172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85%</w:t>
            </w:r>
          </w:p>
        </w:tc>
        <w:tc>
          <w:tcPr>
            <w:tcW w:w="178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85%</w:t>
            </w:r>
          </w:p>
        </w:tc>
      </w:tr>
    </w:tbl>
    <w:p w:rsidR="00133BE0" w:rsidRDefault="00133BE0">
      <w:pPr>
        <w:rPr>
          <w:rFonts w:ascii="Arial" w:eastAsia="Arial" w:hAnsi="Arial" w:cs="Arial"/>
          <w:b/>
          <w:sz w:val="20"/>
          <w:szCs w:val="20"/>
        </w:rPr>
      </w:pPr>
    </w:p>
    <w:p w:rsidR="00133BE0" w:rsidRDefault="001A0FDC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tbl>
      <w:tblPr>
        <w:tblStyle w:val="a3"/>
        <w:tblW w:w="12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760"/>
        <w:gridCol w:w="1590"/>
        <w:gridCol w:w="1965"/>
        <w:gridCol w:w="1815"/>
        <w:gridCol w:w="1680"/>
        <w:gridCol w:w="1815"/>
      </w:tblGrid>
      <w:tr w:rsidR="00133BE0">
        <w:tc>
          <w:tcPr>
            <w:tcW w:w="12165" w:type="dxa"/>
            <w:gridSpan w:val="7"/>
            <w:shd w:val="clear" w:color="auto" w:fill="92D050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Organizational Health</w:t>
            </w:r>
          </w:p>
        </w:tc>
      </w:tr>
      <w:tr w:rsidR="00133BE0">
        <w:trPr>
          <w:trHeight w:val="1000"/>
        </w:trPr>
        <w:tc>
          <w:tcPr>
            <w:tcW w:w="540" w:type="dxa"/>
            <w:shd w:val="clear" w:color="auto" w:fill="BFBFBF"/>
            <w:vAlign w:val="center"/>
          </w:tcPr>
          <w:p w:rsidR="00133BE0" w:rsidRDefault="00133B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60" w:type="dxa"/>
            <w:shd w:val="clear" w:color="auto" w:fill="BFBFBF"/>
            <w:vAlign w:val="center"/>
          </w:tcPr>
          <w:p w:rsidR="00133BE0" w:rsidRDefault="001A0FD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Key Performance Indicator</w:t>
            </w:r>
          </w:p>
        </w:tc>
        <w:tc>
          <w:tcPr>
            <w:tcW w:w="1590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Current Data</w:t>
            </w:r>
          </w:p>
        </w:tc>
        <w:tc>
          <w:tcPr>
            <w:tcW w:w="1965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2018 Standard</w:t>
            </w:r>
          </w:p>
        </w:tc>
        <w:tc>
          <w:tcPr>
            <w:tcW w:w="1815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 Standard</w:t>
            </w:r>
          </w:p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(Recommended by IEC)</w:t>
            </w:r>
          </w:p>
        </w:tc>
        <w:tc>
          <w:tcPr>
            <w:tcW w:w="1680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2018 Target</w:t>
            </w:r>
          </w:p>
        </w:tc>
        <w:tc>
          <w:tcPr>
            <w:tcW w:w="1815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 Target</w:t>
            </w:r>
          </w:p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(Recommended by IEC)</w:t>
            </w:r>
          </w:p>
        </w:tc>
      </w:tr>
      <w:tr w:rsidR="00133BE0">
        <w:trPr>
          <w:trHeight w:val="1000"/>
        </w:trPr>
        <w:tc>
          <w:tcPr>
            <w:tcW w:w="54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276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Enrollment Rate</w:t>
            </w:r>
          </w:p>
        </w:tc>
        <w:tc>
          <w:tcPr>
            <w:tcW w:w="159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46%</w:t>
            </w:r>
          </w:p>
        </w:tc>
        <w:tc>
          <w:tcPr>
            <w:tcW w:w="1965" w:type="dxa"/>
            <w:shd w:val="clear" w:color="auto" w:fill="E2EFD9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</w:t>
            </w:r>
          </w:p>
        </w:tc>
        <w:tc>
          <w:tcPr>
            <w:tcW w:w="1815" w:type="dxa"/>
            <w:shd w:val="clear" w:color="auto" w:fill="E2EFD9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46%</w:t>
            </w:r>
          </w:p>
        </w:tc>
        <w:tc>
          <w:tcPr>
            <w:tcW w:w="168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</w:t>
            </w:r>
          </w:p>
        </w:tc>
        <w:tc>
          <w:tcPr>
            <w:tcW w:w="181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52%</w:t>
            </w:r>
          </w:p>
        </w:tc>
      </w:tr>
      <w:tr w:rsidR="00133BE0">
        <w:trPr>
          <w:trHeight w:val="1000"/>
        </w:trPr>
        <w:tc>
          <w:tcPr>
            <w:tcW w:w="54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276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Earned WSCH/Total FTEF</w:t>
            </w:r>
          </w:p>
        </w:tc>
        <w:tc>
          <w:tcPr>
            <w:tcW w:w="159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452</w:t>
            </w:r>
          </w:p>
        </w:tc>
        <w:tc>
          <w:tcPr>
            <w:tcW w:w="1965" w:type="dxa"/>
            <w:shd w:val="clear" w:color="auto" w:fill="E2EFD9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  <w:tc>
          <w:tcPr>
            <w:tcW w:w="1815" w:type="dxa"/>
            <w:shd w:val="clear" w:color="auto" w:fill="E2EFD9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460</w:t>
            </w:r>
          </w:p>
        </w:tc>
        <w:tc>
          <w:tcPr>
            <w:tcW w:w="168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525</w:t>
            </w:r>
          </w:p>
        </w:tc>
        <w:tc>
          <w:tcPr>
            <w:tcW w:w="181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525</w:t>
            </w:r>
          </w:p>
        </w:tc>
      </w:tr>
      <w:tr w:rsidR="00133BE0">
        <w:trPr>
          <w:trHeight w:val="1000"/>
        </w:trPr>
        <w:tc>
          <w:tcPr>
            <w:tcW w:w="54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276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Fill Rate</w:t>
            </w:r>
          </w:p>
        </w:tc>
        <w:tc>
          <w:tcPr>
            <w:tcW w:w="159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74%</w:t>
            </w:r>
          </w:p>
        </w:tc>
        <w:tc>
          <w:tcPr>
            <w:tcW w:w="1965" w:type="dxa"/>
            <w:shd w:val="clear" w:color="auto" w:fill="E2EFD9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75%</w:t>
            </w:r>
          </w:p>
        </w:tc>
        <w:tc>
          <w:tcPr>
            <w:tcW w:w="1815" w:type="dxa"/>
            <w:shd w:val="clear" w:color="auto" w:fill="E2EFD9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75%</w:t>
            </w:r>
          </w:p>
        </w:tc>
        <w:tc>
          <w:tcPr>
            <w:tcW w:w="168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80%</w:t>
            </w:r>
          </w:p>
        </w:tc>
        <w:tc>
          <w:tcPr>
            <w:tcW w:w="181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80%</w:t>
            </w:r>
          </w:p>
        </w:tc>
      </w:tr>
      <w:tr w:rsidR="00133BE0">
        <w:trPr>
          <w:trHeight w:val="1000"/>
        </w:trPr>
        <w:tc>
          <w:tcPr>
            <w:tcW w:w="54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2760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FT Load/Total FTEF</w:t>
            </w:r>
          </w:p>
        </w:tc>
        <w:tc>
          <w:tcPr>
            <w:tcW w:w="159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27%</w:t>
            </w:r>
          </w:p>
        </w:tc>
        <w:tc>
          <w:tcPr>
            <w:tcW w:w="1965" w:type="dxa"/>
            <w:shd w:val="clear" w:color="auto" w:fill="E2EFD9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30%</w:t>
            </w:r>
          </w:p>
        </w:tc>
        <w:tc>
          <w:tcPr>
            <w:tcW w:w="1815" w:type="dxa"/>
            <w:shd w:val="clear" w:color="auto" w:fill="E2EFD9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30%</w:t>
            </w:r>
          </w:p>
        </w:tc>
        <w:tc>
          <w:tcPr>
            <w:tcW w:w="168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</w:t>
            </w:r>
          </w:p>
        </w:tc>
        <w:tc>
          <w:tcPr>
            <w:tcW w:w="1815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35%</w:t>
            </w:r>
          </w:p>
        </w:tc>
      </w:tr>
    </w:tbl>
    <w:p w:rsidR="00133BE0" w:rsidRDefault="00133BE0">
      <w:pPr>
        <w:rPr>
          <w:rFonts w:ascii="Arial" w:eastAsia="Arial" w:hAnsi="Arial" w:cs="Arial"/>
          <w:b/>
          <w:sz w:val="20"/>
          <w:szCs w:val="20"/>
        </w:rPr>
      </w:pPr>
    </w:p>
    <w:p w:rsidR="00133BE0" w:rsidRDefault="001A0FDC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:rsidR="00133BE0" w:rsidRDefault="001A0FDC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CUYAMACA COLLEGE VISION FOR SUCCESS GOALS FOR 2021-22</w:t>
      </w:r>
    </w:p>
    <w:tbl>
      <w:tblPr>
        <w:tblStyle w:val="a4"/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3345"/>
        <w:gridCol w:w="3630"/>
        <w:gridCol w:w="1545"/>
        <w:gridCol w:w="1920"/>
        <w:gridCol w:w="1920"/>
      </w:tblGrid>
      <w:tr w:rsidR="00133BE0">
        <w:trPr>
          <w:trHeight w:val="1000"/>
        </w:trPr>
        <w:tc>
          <w:tcPr>
            <w:tcW w:w="535" w:type="dxa"/>
            <w:shd w:val="clear" w:color="auto" w:fill="BFBFBF"/>
            <w:vAlign w:val="center"/>
          </w:tcPr>
          <w:p w:rsidR="00133BE0" w:rsidRDefault="00133B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345" w:type="dxa"/>
            <w:shd w:val="clear" w:color="auto" w:fill="BFBFBF"/>
            <w:vAlign w:val="center"/>
          </w:tcPr>
          <w:p w:rsidR="00133BE0" w:rsidRDefault="001A0FD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Key Performance Indicator</w:t>
            </w:r>
          </w:p>
        </w:tc>
        <w:tc>
          <w:tcPr>
            <w:tcW w:w="3630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Relevant Local KPI</w:t>
            </w:r>
          </w:p>
        </w:tc>
        <w:tc>
          <w:tcPr>
            <w:tcW w:w="1545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NOVA System Baseline</w:t>
            </w:r>
          </w:p>
        </w:tc>
        <w:tc>
          <w:tcPr>
            <w:tcW w:w="1920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VFS Goal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Percentage Increase</w:t>
            </w:r>
          </w:p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(Recommended by IEC)</w:t>
            </w:r>
          </w:p>
        </w:tc>
        <w:tc>
          <w:tcPr>
            <w:tcW w:w="1920" w:type="dxa"/>
            <w:shd w:val="clear" w:color="auto" w:fill="BFBFB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VFS Numeric Goal </w:t>
            </w:r>
          </w:p>
          <w:p w:rsidR="00133BE0" w:rsidRDefault="001A0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(Recommended by IEC)</w:t>
            </w:r>
          </w:p>
        </w:tc>
      </w:tr>
      <w:tr w:rsidR="00133BE0">
        <w:trPr>
          <w:trHeight w:val="1000"/>
        </w:trPr>
        <w:tc>
          <w:tcPr>
            <w:tcW w:w="53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1a.</w:t>
            </w:r>
          </w:p>
        </w:tc>
        <w:tc>
          <w:tcPr>
            <w:tcW w:w="334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Students Who Earned an Associate Degree (including ADTs)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#11. Number of Associate Degree Graduates (Unduplicated)</w:t>
            </w:r>
          </w:p>
        </w:tc>
        <w:tc>
          <w:tcPr>
            <w:tcW w:w="1545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653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+6%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692</w:t>
            </w:r>
          </w:p>
        </w:tc>
      </w:tr>
      <w:tr w:rsidR="00133BE0">
        <w:trPr>
          <w:trHeight w:val="1100"/>
        </w:trPr>
        <w:tc>
          <w:tcPr>
            <w:tcW w:w="53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1b.</w:t>
            </w:r>
          </w:p>
        </w:tc>
        <w:tc>
          <w:tcPr>
            <w:tcW w:w="334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Students Who Earned a Certificate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#6. Number of Certificate Graduates (Unduplicated)</w:t>
            </w:r>
          </w:p>
        </w:tc>
        <w:tc>
          <w:tcPr>
            <w:tcW w:w="1545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177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+9%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193</w:t>
            </w:r>
          </w:p>
        </w:tc>
      </w:tr>
      <w:tr w:rsidR="00133BE0">
        <w:trPr>
          <w:trHeight w:val="1000"/>
        </w:trPr>
        <w:tc>
          <w:tcPr>
            <w:tcW w:w="53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1c.</w:t>
            </w:r>
          </w:p>
        </w:tc>
        <w:tc>
          <w:tcPr>
            <w:tcW w:w="334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Students Who Met Vision Goal Completion Definition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#11. Number of Associate Degree Graduates (Unduplicated) </w:t>
            </w:r>
            <w:r>
              <w:rPr>
                <w:rFonts w:ascii="Arial" w:eastAsia="Arial" w:hAnsi="Arial" w:cs="Arial"/>
                <w:b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#6. Number of Certificate Graduates (Unduplicated)</w:t>
            </w:r>
          </w:p>
        </w:tc>
        <w:tc>
          <w:tcPr>
            <w:tcW w:w="1545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626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+7%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670</w:t>
            </w:r>
          </w:p>
        </w:tc>
      </w:tr>
      <w:tr w:rsidR="00133BE0">
        <w:trPr>
          <w:trHeight w:val="1000"/>
        </w:trPr>
        <w:tc>
          <w:tcPr>
            <w:tcW w:w="53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2a.</w:t>
            </w:r>
          </w:p>
        </w:tc>
        <w:tc>
          <w:tcPr>
            <w:tcW w:w="334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Students Graduating with an ADT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#11. Number of Associate Degree Graduates (Unduplicated)</w:t>
            </w:r>
          </w:p>
        </w:tc>
        <w:tc>
          <w:tcPr>
            <w:tcW w:w="1545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125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+6%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133</w:t>
            </w:r>
          </w:p>
        </w:tc>
      </w:tr>
      <w:tr w:rsidR="00133BE0">
        <w:trPr>
          <w:trHeight w:val="1000"/>
        </w:trPr>
        <w:tc>
          <w:tcPr>
            <w:tcW w:w="53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2b.</w:t>
            </w:r>
          </w:p>
        </w:tc>
        <w:tc>
          <w:tcPr>
            <w:tcW w:w="334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Students Transferring to UCs/CSUs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#9. Transfers to Four-Year Institutions</w:t>
            </w:r>
          </w:p>
        </w:tc>
        <w:tc>
          <w:tcPr>
            <w:tcW w:w="1545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746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+15%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858</w:t>
            </w:r>
          </w:p>
        </w:tc>
      </w:tr>
      <w:tr w:rsidR="00133BE0">
        <w:trPr>
          <w:trHeight w:val="1000"/>
        </w:trPr>
        <w:tc>
          <w:tcPr>
            <w:tcW w:w="53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34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Average Number of Units Accumulated by Associate Degree Earners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#12. Average Number of Units Accumulated by Associate Degree Earners</w:t>
            </w:r>
          </w:p>
        </w:tc>
        <w:tc>
          <w:tcPr>
            <w:tcW w:w="1545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91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-13%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79</w:t>
            </w:r>
          </w:p>
        </w:tc>
      </w:tr>
      <w:tr w:rsidR="00133BE0">
        <w:trPr>
          <w:trHeight w:val="1000"/>
        </w:trPr>
        <w:tc>
          <w:tcPr>
            <w:tcW w:w="53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4a.</w:t>
            </w:r>
          </w:p>
        </w:tc>
        <w:tc>
          <w:tcPr>
            <w:tcW w:w="334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Percentage Increase in Median Annual Earnings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#7. Median Change in Earnings</w:t>
            </w:r>
          </w:p>
        </w:tc>
        <w:tc>
          <w:tcPr>
            <w:tcW w:w="1545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$24,940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+2%*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$25,420</w:t>
            </w:r>
          </w:p>
        </w:tc>
      </w:tr>
      <w:tr w:rsidR="00133BE0">
        <w:trPr>
          <w:trHeight w:val="1000"/>
        </w:trPr>
        <w:tc>
          <w:tcPr>
            <w:tcW w:w="53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4b.</w:t>
            </w:r>
          </w:p>
        </w:tc>
        <w:tc>
          <w:tcPr>
            <w:tcW w:w="3345" w:type="dxa"/>
            <w:vAlign w:val="center"/>
          </w:tcPr>
          <w:p w:rsidR="00133BE0" w:rsidRDefault="001A0F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Percentage of Students Attaining a Living Wage</w:t>
            </w:r>
          </w:p>
        </w:tc>
        <w:tc>
          <w:tcPr>
            <w:tcW w:w="3630" w:type="dxa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#8. Attained the Living Wage</w:t>
            </w:r>
          </w:p>
        </w:tc>
        <w:tc>
          <w:tcPr>
            <w:tcW w:w="1545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35%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42% (+7% over 35%)</w:t>
            </w:r>
          </w:p>
        </w:tc>
        <w:tc>
          <w:tcPr>
            <w:tcW w:w="1920" w:type="dxa"/>
            <w:shd w:val="clear" w:color="auto" w:fill="CCCCFF"/>
            <w:vAlign w:val="center"/>
          </w:tcPr>
          <w:p w:rsidR="00133BE0" w:rsidRDefault="001A0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</w:t>
            </w:r>
          </w:p>
        </w:tc>
      </w:tr>
    </w:tbl>
    <w:p w:rsidR="00133BE0" w:rsidRDefault="00133BE0">
      <w:pPr>
        <w:rPr>
          <w:rFonts w:ascii="Arial" w:eastAsia="Arial" w:hAnsi="Arial" w:cs="Arial"/>
          <w:b/>
          <w:sz w:val="20"/>
          <w:szCs w:val="20"/>
        </w:rPr>
      </w:pPr>
    </w:p>
    <w:p w:rsidR="00133BE0" w:rsidRDefault="001A0F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 Will be represented in dollar amounts within the CCCCO NOVA system; outcome wages determined based on input received from the Spring 2019 Planning and Evaluation Retreat</w:t>
      </w:r>
    </w:p>
    <w:sectPr w:rsidR="00133BE0">
      <w:footerReference w:type="default" r:id="rId8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DC" w:rsidRDefault="001A0FDC">
      <w:pPr>
        <w:spacing w:after="0" w:line="240" w:lineRule="auto"/>
      </w:pPr>
      <w:r>
        <w:separator/>
      </w:r>
    </w:p>
  </w:endnote>
  <w:endnote w:type="continuationSeparator" w:id="0">
    <w:p w:rsidR="001A0FDC" w:rsidRDefault="001A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BE0" w:rsidRDefault="001A0F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Institutional Effectiveness, Success, and Equity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May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DC" w:rsidRDefault="001A0FDC">
      <w:pPr>
        <w:spacing w:after="0" w:line="240" w:lineRule="auto"/>
      </w:pPr>
      <w:r>
        <w:separator/>
      </w:r>
    </w:p>
  </w:footnote>
  <w:footnote w:type="continuationSeparator" w:id="0">
    <w:p w:rsidR="001A0FDC" w:rsidRDefault="001A0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3BE0"/>
    <w:rsid w:val="00133BE0"/>
    <w:rsid w:val="001A0FDC"/>
    <w:rsid w:val="00C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6CC1E7-095C-42A1-984A-F7CAE0A1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Ahmadian</dc:creator>
  <cp:lastModifiedBy>Ariane Ahmadian</cp:lastModifiedBy>
  <cp:revision>2</cp:revision>
  <dcterms:created xsi:type="dcterms:W3CDTF">2019-05-09T21:52:00Z</dcterms:created>
  <dcterms:modified xsi:type="dcterms:W3CDTF">2019-05-09T21:52:00Z</dcterms:modified>
</cp:coreProperties>
</file>